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8B883CD">
      <w:pPr>
        <w:jc w:val="center"/>
        <w:rPr>
          <w:rFonts w:ascii="宋体" w:hAnsi="宋体" w:eastAsia="宋体" w:cs="宋体"/>
          <w:b/>
          <w:bCs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sz w:val="44"/>
          <w:szCs w:val="44"/>
        </w:rPr>
        <w:t>第四届</w:t>
      </w: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中国</w:t>
      </w:r>
      <w:r>
        <w:rPr>
          <w:rFonts w:hint="eastAsia" w:ascii="宋体" w:hAnsi="宋体" w:eastAsia="宋体" w:cs="宋体"/>
          <w:b/>
          <w:bCs/>
          <w:sz w:val="44"/>
          <w:szCs w:val="44"/>
        </w:rPr>
        <w:t>母乳科学大会</w:t>
      </w:r>
    </w:p>
    <w:p w14:paraId="5ADA7770">
      <w:pPr>
        <w:jc w:val="center"/>
        <w:rPr>
          <w:rFonts w:ascii="宋体" w:hAnsi="宋体" w:eastAsia="宋体" w:cs="宋体"/>
          <w:b/>
          <w:bCs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sz w:val="44"/>
          <w:szCs w:val="44"/>
        </w:rPr>
        <w:t>日程安排</w:t>
      </w:r>
    </w:p>
    <w:tbl>
      <w:tblPr>
        <w:tblStyle w:val="5"/>
        <w:tblpPr w:leftFromText="180" w:rightFromText="180" w:vertAnchor="text" w:tblpY="1"/>
        <w:tblOverlap w:val="never"/>
        <w:tblW w:w="864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42"/>
      </w:tblGrid>
      <w:tr w14:paraId="6CD8FC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8642" w:type="dxa"/>
            <w:vAlign w:val="center"/>
          </w:tcPr>
          <w:p w14:paraId="0E8058BD">
            <w:pPr>
              <w:jc w:val="center"/>
              <w:rPr>
                <w:rFonts w:hint="eastAsia"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青年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论坛（5月2</w:t>
            </w:r>
            <w:r>
              <w:rPr>
                <w:rFonts w:ascii="仿宋" w:hAnsi="仿宋" w:eastAsia="仿宋" w:cs="仿宋"/>
                <w:b/>
                <w:bCs/>
                <w:sz w:val="24"/>
                <w:szCs w:val="24"/>
              </w:rPr>
              <w:t>2</w:t>
            </w: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日）</w:t>
            </w:r>
          </w:p>
        </w:tc>
      </w:tr>
      <w:tr w14:paraId="476460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8642" w:type="dxa"/>
            <w:vAlign w:val="center"/>
          </w:tcPr>
          <w:p w14:paraId="5546626E">
            <w:pPr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母婴抗体谱系解析与母乳免疫组学动态变化</w:t>
            </w:r>
          </w:p>
        </w:tc>
      </w:tr>
      <w:tr w14:paraId="42F4A3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8642" w:type="dxa"/>
            <w:vAlign w:val="center"/>
          </w:tcPr>
          <w:p w14:paraId="201FB917">
            <w:pPr>
              <w:jc w:val="center"/>
              <w:rPr>
                <w:rFonts w:hint="eastAsia"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妊娠糖尿病对母乳甘油三酯的影响</w:t>
            </w:r>
          </w:p>
        </w:tc>
      </w:tr>
      <w:tr w14:paraId="13E1E3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8642" w:type="dxa"/>
            <w:vAlign w:val="center"/>
          </w:tcPr>
          <w:p w14:paraId="0F3DC7B4">
            <w:pPr>
              <w:jc w:val="center"/>
              <w:rPr>
                <w:rFonts w:hint="eastAsia"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母乳活性成分对婴儿神经发育的作用</w:t>
            </w:r>
          </w:p>
        </w:tc>
      </w:tr>
      <w:tr w14:paraId="765AE5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8642" w:type="dxa"/>
            <w:vAlign w:val="center"/>
          </w:tcPr>
          <w:p w14:paraId="22456F83">
            <w:pPr>
              <w:jc w:val="center"/>
              <w:rPr>
                <w:rFonts w:hint="eastAsia"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孤独症儿童营养状况与神经发育的相关性研究及肠道菌群特征比较</w:t>
            </w:r>
          </w:p>
        </w:tc>
      </w:tr>
      <w:tr w14:paraId="713729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8642" w:type="dxa"/>
            <w:vAlign w:val="center"/>
          </w:tcPr>
          <w:p w14:paraId="6C4D7EB3">
            <w:pPr>
              <w:jc w:val="center"/>
              <w:rPr>
                <w:rFonts w:hint="eastAsia"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多组学解析婴儿早期肠道微生物组成关键驱动因素</w:t>
            </w:r>
          </w:p>
        </w:tc>
      </w:tr>
      <w:tr w14:paraId="61DECD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8642" w:type="dxa"/>
            <w:vAlign w:val="center"/>
          </w:tcPr>
          <w:p w14:paraId="08448525">
            <w:pPr>
              <w:jc w:val="center"/>
              <w:rPr>
                <w:rFonts w:hint="eastAsia"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孕晚期补充益生菌制剂重塑母子微生物轴</w:t>
            </w:r>
          </w:p>
        </w:tc>
      </w:tr>
      <w:tr w14:paraId="380CA1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8642" w:type="dxa"/>
            <w:vAlign w:val="center"/>
          </w:tcPr>
          <w:p w14:paraId="35B03587">
            <w:pPr>
              <w:jc w:val="center"/>
              <w:rPr>
                <w:rFonts w:hint="eastAsia"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N-糖修饰调控母乳乳铁蛋白抗消化特性及完整吸收机制研究</w:t>
            </w:r>
          </w:p>
        </w:tc>
      </w:tr>
      <w:tr w14:paraId="5B3741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8642" w:type="dxa"/>
            <w:vAlign w:val="center"/>
          </w:tcPr>
          <w:p w14:paraId="791A60FA">
            <w:pPr>
              <w:jc w:val="center"/>
              <w:rPr>
                <w:rFonts w:hint="eastAsia"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婴幼儿配方食品标准修订思考</w:t>
            </w:r>
          </w:p>
        </w:tc>
      </w:tr>
      <w:tr w14:paraId="216268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8642" w:type="dxa"/>
            <w:vAlign w:val="center"/>
          </w:tcPr>
          <w:p w14:paraId="1605B529">
            <w:pPr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主会场（5月23日）</w:t>
            </w:r>
          </w:p>
        </w:tc>
      </w:tr>
      <w:tr w14:paraId="2FED9C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8642" w:type="dxa"/>
            <w:vAlign w:val="center"/>
          </w:tcPr>
          <w:p w14:paraId="74BF95E5">
            <w:pPr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/>
                <w:b/>
                <w:bCs/>
                <w:color w:val="000000"/>
                <w:sz w:val="22"/>
                <w:szCs w:val="22"/>
              </w:rPr>
              <w:t>大会开幕式</w:t>
            </w:r>
          </w:p>
        </w:tc>
      </w:tr>
      <w:tr w14:paraId="60610F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8642" w:type="dxa"/>
            <w:vAlign w:val="center"/>
          </w:tcPr>
          <w:p w14:paraId="1E313A84">
            <w:pPr>
              <w:jc w:val="center"/>
              <w:rPr>
                <w:rFonts w:hint="eastAsia"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科学未来——母乳科学研究的十年预期</w:t>
            </w:r>
          </w:p>
        </w:tc>
      </w:tr>
      <w:tr w14:paraId="79DEFE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8642" w:type="dxa"/>
            <w:vAlign w:val="center"/>
          </w:tcPr>
          <w:p w14:paraId="10FD5913">
            <w:pPr>
              <w:jc w:val="center"/>
              <w:rPr>
                <w:rFonts w:hint="eastAsia"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科技创新——食品科学发展促进妇幼健康</w:t>
            </w:r>
          </w:p>
        </w:tc>
      </w:tr>
      <w:tr w14:paraId="616722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8642" w:type="dxa"/>
            <w:vAlign w:val="center"/>
          </w:tcPr>
          <w:p w14:paraId="68166BDD">
            <w:pPr>
              <w:jc w:val="center"/>
              <w:rPr>
                <w:rFonts w:hint="eastAsia"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膳食指南——中国居民膳食指南历史作用</w:t>
            </w:r>
          </w:p>
        </w:tc>
      </w:tr>
      <w:tr w14:paraId="1171F6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8642" w:type="dxa"/>
            <w:vAlign w:val="center"/>
          </w:tcPr>
          <w:p w14:paraId="3547C4D9">
            <w:pPr>
              <w:jc w:val="center"/>
              <w:rPr>
                <w:rFonts w:hint="eastAsia"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营养溯源——生命早期营养与成人期慢病防控</w:t>
            </w:r>
          </w:p>
        </w:tc>
      </w:tr>
      <w:tr w14:paraId="33F9AC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8642" w:type="dxa"/>
            <w:vAlign w:val="center"/>
          </w:tcPr>
          <w:p w14:paraId="27F2D7CA">
            <w:pPr>
              <w:jc w:val="center"/>
              <w:rPr>
                <w:rFonts w:hint="eastAsia"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Leading the way in HMO Research and Development</w:t>
            </w:r>
          </w:p>
        </w:tc>
      </w:tr>
      <w:tr w14:paraId="2149F4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8642" w:type="dxa"/>
            <w:vAlign w:val="center"/>
          </w:tcPr>
          <w:p w14:paraId="0C7A239F">
            <w:pPr>
              <w:jc w:val="center"/>
              <w:rPr>
                <w:rFonts w:hint="eastAsia"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营养守护——小儿消化与临床营养支持新进展</w:t>
            </w:r>
          </w:p>
        </w:tc>
      </w:tr>
      <w:tr w14:paraId="19E8B6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8642" w:type="dxa"/>
            <w:vAlign w:val="center"/>
          </w:tcPr>
          <w:p w14:paraId="6ACB35F5">
            <w:pPr>
              <w:jc w:val="center"/>
              <w:rPr>
                <w:rFonts w:hint="eastAsia"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科学哺育——母乳喂养促进策略与实践</w:t>
            </w:r>
          </w:p>
        </w:tc>
      </w:tr>
      <w:tr w14:paraId="748EDF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8642" w:type="dxa"/>
            <w:vAlign w:val="center"/>
          </w:tcPr>
          <w:p w14:paraId="438B4630">
            <w:pPr>
              <w:jc w:val="center"/>
              <w:rPr>
                <w:rFonts w:hint="eastAsia"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营养编程——从孕产妇到后代疾病路径</w:t>
            </w:r>
          </w:p>
        </w:tc>
      </w:tr>
      <w:tr w14:paraId="5E410E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8642" w:type="dxa"/>
            <w:vAlign w:val="center"/>
          </w:tcPr>
          <w:p w14:paraId="4A93063F">
            <w:pPr>
              <w:jc w:val="center"/>
              <w:rPr>
                <w:rFonts w:hint="eastAsia"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营养干预——公共营养视角下的妇幼健康促进</w:t>
            </w:r>
          </w:p>
        </w:tc>
      </w:tr>
      <w:tr w14:paraId="173623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8642" w:type="dxa"/>
            <w:vAlign w:val="center"/>
          </w:tcPr>
          <w:p w14:paraId="7C3926F8">
            <w:pPr>
              <w:jc w:val="center"/>
              <w:rPr>
                <w:rFonts w:ascii="宋体" w:hAnsi="宋体" w:eastAsia="宋体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/>
                <w:b/>
                <w:bCs/>
                <w:color w:val="000000"/>
                <w:sz w:val="22"/>
                <w:szCs w:val="22"/>
              </w:rPr>
              <w:t>会间操</w:t>
            </w:r>
          </w:p>
        </w:tc>
      </w:tr>
      <w:tr w14:paraId="7826A1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8642" w:type="dxa"/>
            <w:vAlign w:val="center"/>
          </w:tcPr>
          <w:p w14:paraId="76B6D0AD">
            <w:pPr>
              <w:jc w:val="center"/>
              <w:rPr>
                <w:rFonts w:hint="eastAsia"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微生世界——人体微生物溯源之路</w:t>
            </w:r>
          </w:p>
        </w:tc>
      </w:tr>
      <w:tr w14:paraId="0AB792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8642" w:type="dxa"/>
            <w:vAlign w:val="center"/>
          </w:tcPr>
          <w:p w14:paraId="348FD988">
            <w:pPr>
              <w:jc w:val="center"/>
              <w:rPr>
                <w:rFonts w:hint="eastAsia"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营养监测——中国妇幼营养现状与干预策略</w:t>
            </w:r>
          </w:p>
        </w:tc>
      </w:tr>
      <w:tr w14:paraId="3B21EF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8642" w:type="dxa"/>
          </w:tcPr>
          <w:p w14:paraId="2CEA59FA">
            <w:pPr>
              <w:jc w:val="center"/>
              <w:rPr>
                <w:rFonts w:hint="eastAsia"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"Human Milk Research: Global Perspectives and Insights from China</w:t>
            </w:r>
          </w:p>
          <w:p w14:paraId="35380D52">
            <w:pPr>
              <w:jc w:val="center"/>
              <w:rPr>
                <w:rFonts w:hint="eastAsia"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（母乳研究：全球视角与中国洞察）"</w:t>
            </w:r>
          </w:p>
        </w:tc>
      </w:tr>
      <w:tr w14:paraId="23278F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8642" w:type="dxa"/>
            <w:vAlign w:val="center"/>
          </w:tcPr>
          <w:p w14:paraId="038BBEE8">
            <w:pPr>
              <w:jc w:val="center"/>
              <w:rPr>
                <w:rFonts w:ascii="宋体" w:hAnsi="宋体" w:eastAsia="宋体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婴幼儿喂养与健康—分会场（5月23日）</w:t>
            </w:r>
          </w:p>
        </w:tc>
      </w:tr>
      <w:tr w14:paraId="7F195F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8642" w:type="dxa"/>
            <w:vAlign w:val="center"/>
          </w:tcPr>
          <w:p w14:paraId="5F98C80D">
            <w:pPr>
              <w:jc w:val="center"/>
              <w:rPr>
                <w:rFonts w:hint="eastAsia"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母乳喂养实践</w:t>
            </w:r>
          </w:p>
        </w:tc>
      </w:tr>
      <w:tr w14:paraId="1B1BF0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8642" w:type="dxa"/>
            <w:vAlign w:val="center"/>
          </w:tcPr>
          <w:p w14:paraId="06BAA9F4">
            <w:pPr>
              <w:jc w:val="center"/>
              <w:rPr>
                <w:rFonts w:hint="eastAsia"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母乳喂养与神经发育</w:t>
            </w:r>
          </w:p>
        </w:tc>
      </w:tr>
      <w:tr w14:paraId="162CDE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8642" w:type="dxa"/>
            <w:vAlign w:val="center"/>
          </w:tcPr>
          <w:p w14:paraId="6580DA24">
            <w:pPr>
              <w:jc w:val="center"/>
              <w:rPr>
                <w:rFonts w:hint="eastAsia"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辅食添加与健康/婴儿喂养与健康行为培养</w:t>
            </w:r>
          </w:p>
        </w:tc>
      </w:tr>
      <w:tr w14:paraId="20678E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8642" w:type="dxa"/>
            <w:vAlign w:val="center"/>
          </w:tcPr>
          <w:p w14:paraId="11593C4F">
            <w:pPr>
              <w:jc w:val="center"/>
              <w:rPr>
                <w:rFonts w:hint="eastAsia"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婴幼儿辅食多样化评价</w:t>
            </w:r>
          </w:p>
        </w:tc>
      </w:tr>
      <w:tr w14:paraId="126A25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8642" w:type="dxa"/>
            <w:vAlign w:val="center"/>
          </w:tcPr>
          <w:p w14:paraId="53959511">
            <w:pPr>
              <w:jc w:val="center"/>
              <w:rPr>
                <w:rFonts w:hint="eastAsia"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母乳喂养实践</w:t>
            </w:r>
          </w:p>
        </w:tc>
      </w:tr>
      <w:tr w14:paraId="4F17E1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8642" w:type="dxa"/>
            <w:vAlign w:val="center"/>
          </w:tcPr>
          <w:p w14:paraId="216231A9">
            <w:pPr>
              <w:jc w:val="center"/>
              <w:rPr>
                <w:rFonts w:hint="eastAsia"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儿童运动能力培养</w:t>
            </w:r>
          </w:p>
        </w:tc>
      </w:tr>
      <w:tr w14:paraId="16B3FE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8642" w:type="dxa"/>
            <w:vAlign w:val="center"/>
          </w:tcPr>
          <w:p w14:paraId="6CBDC809">
            <w:pPr>
              <w:jc w:val="center"/>
              <w:rPr>
                <w:rFonts w:hint="eastAsia"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儿童肥胖预防</w:t>
            </w:r>
          </w:p>
        </w:tc>
      </w:tr>
      <w:tr w14:paraId="6BD019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8642" w:type="dxa"/>
            <w:vAlign w:val="center"/>
          </w:tcPr>
          <w:p w14:paraId="4C603BC5">
            <w:pPr>
              <w:jc w:val="center"/>
              <w:rPr>
                <w:rFonts w:hint="eastAsia"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营养与神经发育障碍</w:t>
            </w:r>
          </w:p>
        </w:tc>
      </w:tr>
      <w:tr w14:paraId="5EB220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8642" w:type="dxa"/>
            <w:vAlign w:val="center"/>
          </w:tcPr>
          <w:p w14:paraId="596B2B5B">
            <w:pPr>
              <w:jc w:val="center"/>
              <w:rPr>
                <w:rFonts w:hint="eastAsia"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早产儿营养</w:t>
            </w:r>
          </w:p>
        </w:tc>
      </w:tr>
      <w:tr w14:paraId="59D600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8642" w:type="dxa"/>
            <w:vAlign w:val="center"/>
          </w:tcPr>
          <w:p w14:paraId="154D8437">
            <w:pPr>
              <w:jc w:val="center"/>
              <w:rPr>
                <w:rFonts w:hint="eastAsia" w:ascii="仿宋" w:hAnsi="仿宋" w:eastAsia="仿宋"/>
                <w:b/>
                <w:bCs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母乳科学与数据质量—分会场（5月24日）</w:t>
            </w:r>
          </w:p>
        </w:tc>
      </w:tr>
      <w:tr w14:paraId="57F92A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8642" w:type="dxa"/>
            <w:vAlign w:val="center"/>
          </w:tcPr>
          <w:p w14:paraId="39513881">
            <w:pPr>
              <w:jc w:val="center"/>
              <w:rPr>
                <w:rFonts w:hint="eastAsia"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母乳科学研究国内外数据库标准化</w:t>
            </w:r>
          </w:p>
        </w:tc>
      </w:tr>
      <w:tr w14:paraId="12A9D6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8642" w:type="dxa"/>
            <w:vAlign w:val="center"/>
          </w:tcPr>
          <w:p w14:paraId="1BD49B6B">
            <w:pPr>
              <w:jc w:val="center"/>
              <w:rPr>
                <w:rFonts w:hint="eastAsia"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十四五期间我国母乳科学研究进展</w:t>
            </w:r>
          </w:p>
        </w:tc>
      </w:tr>
      <w:tr w14:paraId="3876FA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8642" w:type="dxa"/>
            <w:vAlign w:val="center"/>
          </w:tcPr>
          <w:p w14:paraId="391E1A78">
            <w:pPr>
              <w:jc w:val="center"/>
              <w:rPr>
                <w:rFonts w:hint="eastAsia"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母乳科学研究优先发展方向</w:t>
            </w:r>
          </w:p>
        </w:tc>
      </w:tr>
      <w:tr w14:paraId="7D2F83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8642" w:type="dxa"/>
            <w:vAlign w:val="center"/>
          </w:tcPr>
          <w:p w14:paraId="51F0679C">
            <w:pPr>
              <w:jc w:val="center"/>
              <w:rPr>
                <w:rFonts w:hint="eastAsia"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国内外母乳库网络建立与应用</w:t>
            </w:r>
          </w:p>
        </w:tc>
      </w:tr>
      <w:tr w14:paraId="10B260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8642" w:type="dxa"/>
            <w:vAlign w:val="center"/>
          </w:tcPr>
          <w:p w14:paraId="25189869">
            <w:pPr>
              <w:jc w:val="center"/>
              <w:rPr>
                <w:rFonts w:hint="eastAsia"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母乳科学研究队列与数据整合</w:t>
            </w:r>
          </w:p>
        </w:tc>
      </w:tr>
      <w:tr w14:paraId="756C01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8642" w:type="dxa"/>
            <w:vAlign w:val="center"/>
          </w:tcPr>
          <w:p w14:paraId="422A8CE5">
            <w:pPr>
              <w:jc w:val="center"/>
              <w:rPr>
                <w:rFonts w:hint="eastAsia" w:ascii="仿宋" w:hAnsi="仿宋" w:eastAsia="仿宋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孕产妇营养与健康—分会场（5月24日）</w:t>
            </w:r>
          </w:p>
        </w:tc>
      </w:tr>
      <w:tr w14:paraId="4E30AD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8642" w:type="dxa"/>
            <w:vAlign w:val="center"/>
          </w:tcPr>
          <w:p w14:paraId="32A37D2D">
            <w:pPr>
              <w:jc w:val="center"/>
              <w:rPr>
                <w:rFonts w:hint="eastAsia"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孕期主要营养问题与膳食指南</w:t>
            </w:r>
          </w:p>
        </w:tc>
      </w:tr>
      <w:tr w14:paraId="108CCA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8642" w:type="dxa"/>
            <w:vAlign w:val="center"/>
          </w:tcPr>
          <w:p w14:paraId="7CAE4E82">
            <w:pPr>
              <w:jc w:val="center"/>
              <w:rPr>
                <w:rFonts w:hint="eastAsia"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孕期体重管理的临床效果</w:t>
            </w:r>
          </w:p>
        </w:tc>
      </w:tr>
      <w:tr w14:paraId="5766CE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8642" w:type="dxa"/>
            <w:vAlign w:val="center"/>
          </w:tcPr>
          <w:p w14:paraId="24291712">
            <w:pPr>
              <w:jc w:val="center"/>
              <w:rPr>
                <w:rFonts w:hint="eastAsia"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孕期贫血管理策略与效果</w:t>
            </w:r>
          </w:p>
        </w:tc>
      </w:tr>
      <w:tr w14:paraId="4C8061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8642" w:type="dxa"/>
            <w:vAlign w:val="center"/>
          </w:tcPr>
          <w:p w14:paraId="05ACEE3B">
            <w:pPr>
              <w:jc w:val="center"/>
              <w:rPr>
                <w:rFonts w:hint="eastAsia"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孕期运动与健康指导</w:t>
            </w:r>
          </w:p>
        </w:tc>
      </w:tr>
      <w:tr w14:paraId="632A79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8642" w:type="dxa"/>
            <w:vAlign w:val="center"/>
          </w:tcPr>
          <w:p w14:paraId="0F87ADFD">
            <w:pPr>
              <w:jc w:val="center"/>
              <w:rPr>
                <w:rFonts w:hint="eastAsia"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哺乳期主要营养问题与膳食指南</w:t>
            </w:r>
          </w:p>
        </w:tc>
      </w:tr>
      <w:tr w14:paraId="2E046B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8642" w:type="dxa"/>
            <w:vAlign w:val="center"/>
          </w:tcPr>
          <w:p w14:paraId="0970233C">
            <w:pPr>
              <w:jc w:val="center"/>
              <w:rPr>
                <w:rFonts w:hint="eastAsia"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产后康复与女性健康</w:t>
            </w:r>
          </w:p>
        </w:tc>
      </w:tr>
      <w:tr w14:paraId="28060F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8642" w:type="dxa"/>
            <w:vAlign w:val="center"/>
          </w:tcPr>
          <w:p w14:paraId="0D08DCAA">
            <w:pPr>
              <w:jc w:val="center"/>
              <w:rPr>
                <w:rFonts w:hint="eastAsia"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产后体重管理</w:t>
            </w:r>
          </w:p>
        </w:tc>
      </w:tr>
      <w:tr w14:paraId="67E0C0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8642" w:type="dxa"/>
            <w:vAlign w:val="center"/>
          </w:tcPr>
          <w:p w14:paraId="0F9F287B">
            <w:pPr>
              <w:jc w:val="center"/>
              <w:rPr>
                <w:rFonts w:hint="eastAsia"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科技创新与成果转化--分会场（5月24日）</w:t>
            </w:r>
          </w:p>
        </w:tc>
      </w:tr>
      <w:tr w14:paraId="1A32C5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8642" w:type="dxa"/>
            <w:vAlign w:val="center"/>
          </w:tcPr>
          <w:p w14:paraId="381EB5B3">
            <w:pPr>
              <w:jc w:val="center"/>
              <w:rPr>
                <w:rFonts w:hint="eastAsia"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乳源功能成分的产学研挖掘与婴配粉创新</w:t>
            </w:r>
          </w:p>
        </w:tc>
      </w:tr>
      <w:tr w14:paraId="5A3234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8642" w:type="dxa"/>
            <w:vAlign w:val="center"/>
          </w:tcPr>
          <w:p w14:paraId="6A2E9780">
            <w:pPr>
              <w:jc w:val="center"/>
              <w:rPr>
                <w:rFonts w:hint="eastAsia"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蛋白质——母乳种类、含量与存在形式</w:t>
            </w:r>
          </w:p>
        </w:tc>
      </w:tr>
      <w:tr w14:paraId="1548E2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8642" w:type="dxa"/>
            <w:vAlign w:val="center"/>
          </w:tcPr>
          <w:p w14:paraId="44A58378">
            <w:pPr>
              <w:jc w:val="center"/>
              <w:rPr>
                <w:rFonts w:hint="eastAsia"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母乳组分——海拔高度的影响</w:t>
            </w:r>
          </w:p>
        </w:tc>
      </w:tr>
      <w:tr w14:paraId="5474CC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8642" w:type="dxa"/>
            <w:vAlign w:val="center"/>
          </w:tcPr>
          <w:p w14:paraId="16AF2328">
            <w:pPr>
              <w:jc w:val="center"/>
              <w:rPr>
                <w:rFonts w:hint="eastAsia"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母乳活性成分助力生命早期全面营养</w:t>
            </w:r>
          </w:p>
        </w:tc>
      </w:tr>
      <w:tr w14:paraId="3FDAD7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8642" w:type="dxa"/>
            <w:vAlign w:val="center"/>
          </w:tcPr>
          <w:p w14:paraId="27CC2F6C">
            <w:pPr>
              <w:jc w:val="center"/>
              <w:rPr>
                <w:rFonts w:hint="eastAsia"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母乳研究数智化：从成分数据库到智能化配方创制</w:t>
            </w:r>
          </w:p>
        </w:tc>
      </w:tr>
      <w:tr w14:paraId="0BA7F8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8642" w:type="dxa"/>
            <w:vAlign w:val="center"/>
          </w:tcPr>
          <w:p w14:paraId="520A83AF">
            <w:pPr>
              <w:jc w:val="center"/>
              <w:rPr>
                <w:rFonts w:hint="eastAsia"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母婴微生态与益生菌的功能探索及产业化</w:t>
            </w:r>
          </w:p>
        </w:tc>
      </w:tr>
      <w:tr w14:paraId="090952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8642" w:type="dxa"/>
            <w:vAlign w:val="center"/>
          </w:tcPr>
          <w:p w14:paraId="51D1D16B">
            <w:pPr>
              <w:jc w:val="center"/>
              <w:rPr>
                <w:rFonts w:hint="eastAsia"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MFGM脂质的活性改造及其促进儿童生长发育的机制研究</w:t>
            </w:r>
          </w:p>
        </w:tc>
      </w:tr>
      <w:tr w14:paraId="01DFA0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8642" w:type="dxa"/>
            <w:vAlign w:val="center"/>
          </w:tcPr>
          <w:p w14:paraId="588C1ED0">
            <w:pPr>
              <w:jc w:val="center"/>
              <w:rPr>
                <w:rFonts w:hint="eastAsia"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HMO——母乳科学研究之分析技术创新</w:t>
            </w:r>
          </w:p>
        </w:tc>
      </w:tr>
    </w:tbl>
    <w:p w14:paraId="078BDDE4">
      <w:pPr>
        <w:jc w:val="center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/>
          <w:color w:val="000000"/>
          <w:sz w:val="22"/>
          <w:szCs w:val="22"/>
        </w:rPr>
        <w:br w:type="textWrapping"/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5769"/>
    <w:rsid w:val="002A2BC5"/>
    <w:rsid w:val="004C12B0"/>
    <w:rsid w:val="0070425D"/>
    <w:rsid w:val="00722500"/>
    <w:rsid w:val="0080104E"/>
    <w:rsid w:val="00895832"/>
    <w:rsid w:val="00A15769"/>
    <w:rsid w:val="00AF3DDB"/>
    <w:rsid w:val="00DD7B0B"/>
    <w:rsid w:val="00F10668"/>
    <w:rsid w:val="00F40DA3"/>
    <w:rsid w:val="0799442D"/>
    <w:rsid w:val="0C7740F1"/>
    <w:rsid w:val="0FC648DC"/>
    <w:rsid w:val="1BD50F96"/>
    <w:rsid w:val="2E4066E7"/>
    <w:rsid w:val="35C24A84"/>
    <w:rsid w:val="3DBE6459"/>
    <w:rsid w:val="456958B3"/>
    <w:rsid w:val="46A25D3C"/>
    <w:rsid w:val="481C0C9B"/>
    <w:rsid w:val="6062650A"/>
    <w:rsid w:val="61B70FAB"/>
    <w:rsid w:val="650F5EA7"/>
    <w:rsid w:val="758A294A"/>
  </w:rsids>
  <m:mathPr>
    <m:mathFont m:val="Cambria Math"/>
    <m:brkBin m:val="before"/>
    <m:brkBinSub m:val="--"/>
    <m:smallFrac m:val="1"/>
    <m:dispDef/>
    <m:lMargin m:val="1440"/>
    <m:rMargin m:val="144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nhideWhenUsed="0" w:uiPriority="99" w:semiHidden="0" w:name="heading 1"/>
    <w:lsdException w:uiPriority="99" w:name="heading 2"/>
    <w:lsdException w:uiPriority="99" w:name="heading 3"/>
    <w:lsdException w:uiPriority="99" w:name="heading 4"/>
    <w:lsdException w:uiPriority="99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nhideWhenUsed="0" w:uiPriority="99" w:semiHidden="0" w:name="toc 1"/>
    <w:lsdException w:unhideWhenUsed="0" w:uiPriority="99" w:semiHidden="0" w:name="toc 2"/>
    <w:lsdException w:unhideWhenUsed="0" w:uiPriority="99" w:semiHidden="0" w:name="toc 3"/>
    <w:lsdException w:unhideWhenUsed="0" w:uiPriority="99" w:semiHidden="0" w:name="toc 4"/>
    <w:lsdException w:unhideWhenUsed="0" w:uiPriority="99" w:semiHidden="0" w:name="toc 5"/>
    <w:lsdException w:unhideWhenUsed="0" w:uiPriority="99" w:semiHidden="0" w:name="toc 6"/>
    <w:lsdException w:unhideWhenUsed="0" w:uiPriority="99" w:semiHidden="0" w:name="toc 7"/>
    <w:lsdException w:unhideWhenUsed="0" w:uiPriority="99" w:semiHidden="0" w:name="toc 8"/>
    <w:lsdException w:unhideWhenUsed="0" w:uiPriority="99" w:semiHidden="0" w:name="toc 9"/>
    <w:lsdException w:unhideWhenUsed="0" w:uiPriority="99" w:semiHidden="0" w:name="Normal Indent"/>
    <w:lsdException w:unhideWhenUsed="0" w:uiPriority="99" w:semiHidden="0" w:name="footnote text"/>
    <w:lsdException w:unhideWhenUsed="0" w:uiPriority="99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99" w:semiHidden="0" w:name="index heading"/>
    <w:lsdException w:uiPriority="99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nhideWhenUsed="0" w:uiPriority="99" w:semiHidden="0" w:name="List Number"/>
    <w:lsdException w:unhideWhenUsed="0" w:uiPriority="99" w:semiHidden="0" w:name="List 2"/>
    <w:lsdException w:unhideWhenUsed="0" w:uiPriority="99" w:semiHidden="0" w:name="List 3"/>
    <w:lsdException w:unhideWhenUsed="0" w:uiPriority="99" w:semiHidden="0" w:name="List 4"/>
    <w:lsdException w:unhideWhenUsed="0" w:uiPriority="99" w:semiHidden="0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nhideWhenUsed="0" w:uiPriority="99" w:semiHidden="0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unhideWhenUsed="0" w:uiPriority="99" w:semiHidden="0" w:name="Subtitle"/>
    <w:lsdException w:unhideWhenUsed="0" w:uiPriority="99" w:semiHidden="0" w:name="Salutation"/>
    <w:lsdException w:unhideWhenUsed="0" w:uiPriority="99" w:semiHidden="0" w:name="Date"/>
    <w:lsdException w:unhideWhenUsed="0" w:uiPriority="99" w:semiHidden="0" w:name="Body Text First Indent"/>
    <w:lsdException w:unhideWhenUsed="0" w:uiPriority="99" w:semiHidden="0" w:name="Body Text First Indent 2"/>
    <w:lsdException w:unhideWhenUsed="0" w:uiPriority="99" w:semiHidden="0" w:name="Note Heading"/>
    <w:lsdException w:unhideWhenUsed="0" w:uiPriority="99" w:semiHidden="0" w:name="Body Text 2"/>
    <w:lsdException w:unhideWhenUsed="0" w:uiPriority="99" w:semiHidden="0" w:name="Body Text 3"/>
    <w:lsdException w:unhideWhenUsed="0" w:uiPriority="99" w:semiHidden="0" w:name="Body Text Indent 2"/>
    <w:lsdException w:unhideWhenUsed="0" w:uiPriority="99" w:semiHidden="0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unhideWhenUsed="0" w:uiPriority="99" w:semiHidden="0" w:name="Strong"/>
    <w:lsdException w:unhideWhenUsed="0" w:uiPriority="99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nhideWhenUsed="0" w:uiPriority="99" w:semiHidden="0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uiPriority="99" w:name="Normal Table"/>
    <w:lsdException w:unhideWhenUsed="0" w:uiPriority="99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99" w:semiHidden="0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字符"/>
    <w:basedOn w:val="6"/>
    <w:link w:val="3"/>
    <w:qFormat/>
    <w:uiPriority w:val="0"/>
    <w:rPr>
      <w:kern w:val="2"/>
      <w:sz w:val="18"/>
      <w:szCs w:val="18"/>
    </w:rPr>
  </w:style>
  <w:style w:type="character" w:customStyle="1" w:styleId="8">
    <w:name w:val="页脚 字符"/>
    <w:basedOn w:val="6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 rotWithShape="0"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 rotWithShape="0"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shade val="98000"/>
                <a:tint val="93000"/>
              </a:schemeClr>
            </a:gs>
            <a:gs pos="50000">
              <a:schemeClr val="phClr">
                <a:lumMod val="103000"/>
                <a:satMod val="130000"/>
                <a:shade val="90000"/>
                <a:tint val="98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649</Words>
  <Characters>735</Characters>
  <Lines>7</Lines>
  <Paragraphs>2</Paragraphs>
  <TotalTime>22</TotalTime>
  <ScaleCrop>false</ScaleCrop>
  <LinksUpToDate>false</LinksUpToDate>
  <CharactersWithSpaces>750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2026-03-25T01:46:00Z</dcterms:created>
  <dc:creator>admin</dc:creator>
  <cp:lastModifiedBy>Effie</cp:lastModifiedBy>
  <dcterms:modified xsi:type="dcterms:W3CDTF">2026-04-16T01:59:13Z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eyJoZGlkIjoiYzUyODFkNzEwOGFkZmFhM2FkYjRmNmU0YjcyY2MzMTYiLCJ1c2VySWQiOiIxMjQzNDEzMzU1In0=</vt:lpwstr>
  </property>
  <property fmtid="{D5CDD505-2E9C-101B-9397-08002B2CF9AE}" pid="4" name="ICV">
    <vt:lpwstr>0EE73CB685E843ECB97346DC926277B7_13</vt:lpwstr>
  </property>
</Properties>
</file>